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0C7" w:rsidRPr="004E00C7" w:rsidRDefault="004E00C7" w:rsidP="004E00C7">
      <w:pPr>
        <w:widowControl w:val="0"/>
        <w:spacing w:after="0" w:line="240" w:lineRule="auto"/>
        <w:jc w:val="both"/>
        <w:outlineLvl w:val="0"/>
        <w:rPr>
          <w:rFonts w:eastAsia="Times New Roman" w:cs="Times New Roman"/>
          <w:szCs w:val="28"/>
          <w:u w:color="000000"/>
        </w:rPr>
      </w:pPr>
      <w:bookmarkStart w:id="0" w:name="_Toc146465233"/>
      <w:bookmarkStart w:id="1" w:name="_Toc151380267"/>
      <w:r w:rsidRPr="004E00C7">
        <w:rPr>
          <w:rFonts w:eastAsia="Times New Roman" w:cs="Times New Roman"/>
          <w:b/>
          <w:sz w:val="24"/>
          <w:szCs w:val="24"/>
          <w:u w:color="000000"/>
        </w:rPr>
        <w:t xml:space="preserve">Ý THỨC HỆ CHÍNH TRỊ, </w:t>
      </w:r>
      <w:r w:rsidRPr="004E00C7">
        <w:rPr>
          <w:rFonts w:eastAsia="Times New Roman" w:cs="Times New Roman"/>
          <w:szCs w:val="28"/>
          <w:u w:color="000000"/>
        </w:rPr>
        <w:t>hệ thống lý luận về một trật tự/cấu trúc xã hội lý tưởng, cùng các thể chế, phương pháp, nguyên tắc hoạt động căn bản, có tính khái quát, nền tảng, để thúc đẩy hành động cho lý tưởng đó.</w:t>
      </w:r>
      <w:bookmarkEnd w:id="0"/>
      <w:bookmarkEnd w:id="1"/>
      <w:r w:rsidRPr="004E00C7">
        <w:rPr>
          <w:rFonts w:eastAsia="Times New Roman" w:cs="Times New Roman"/>
          <w:szCs w:val="28"/>
          <w:u w:color="000000"/>
        </w:rPr>
        <w:t xml:space="preserve"> </w:t>
      </w:r>
    </w:p>
    <w:p w:rsidR="004E00C7" w:rsidRPr="004E00C7" w:rsidRDefault="004E00C7" w:rsidP="004E00C7">
      <w:pPr>
        <w:widowControl w:val="0"/>
        <w:spacing w:after="0" w:line="240" w:lineRule="auto"/>
        <w:ind w:firstLine="720"/>
        <w:jc w:val="both"/>
        <w:rPr>
          <w:rFonts w:eastAsia="Calibri" w:cs="Times New Roman"/>
          <w:szCs w:val="28"/>
          <w:u w:color="000000"/>
        </w:rPr>
      </w:pPr>
      <w:r w:rsidRPr="004E00C7">
        <w:rPr>
          <w:rFonts w:eastAsia="Calibri" w:cs="Times New Roman"/>
          <w:szCs w:val="28"/>
          <w:u w:color="000000"/>
        </w:rPr>
        <w:t xml:space="preserve">Thuật ngữ “ý thức hệ” được cho là do triết gia người Pháp  Antoine Destutt de Tracy (1754–1836) xây dựng và phát triển vào cuối thế kỷ XIX khi nghiên cứu về phong trào Khai sáng. Theo de Tracy, ý thức hệ là khoa học nghiên cứu về các tư tưởng và nguồn gốc của chúng. Tuy nhiên, do các phát triển trong thực tế, và đặc biệt do ảnh hưởng của các nghiên cứu của Marx (như trong </w:t>
      </w:r>
      <w:r w:rsidRPr="004E00C7">
        <w:rPr>
          <w:rFonts w:eastAsia="Calibri" w:cs="Times New Roman"/>
          <w:i/>
          <w:szCs w:val="28"/>
          <w:u w:color="000000"/>
        </w:rPr>
        <w:t>Hệ tư tưởng Đức</w:t>
      </w:r>
      <w:r w:rsidRPr="004E00C7">
        <w:rPr>
          <w:rFonts w:eastAsia="Calibri" w:cs="Times New Roman"/>
          <w:szCs w:val="28"/>
          <w:u w:color="000000"/>
        </w:rPr>
        <w:t xml:space="preserve">), thuật ngữ “ý thức hệ” không còn hàm ý là một “khoa học tư tưởng” như nguyên nghĩa. </w:t>
      </w:r>
    </w:p>
    <w:p w:rsidR="004E00C7" w:rsidRPr="004E00C7" w:rsidRDefault="004E00C7" w:rsidP="004E00C7">
      <w:pPr>
        <w:widowControl w:val="0"/>
        <w:spacing w:after="0" w:line="240" w:lineRule="auto"/>
        <w:ind w:firstLine="720"/>
        <w:jc w:val="both"/>
        <w:rPr>
          <w:rFonts w:eastAsia="Calibri" w:cs="Times New Roman"/>
          <w:szCs w:val="28"/>
          <w:u w:color="000000"/>
        </w:rPr>
      </w:pPr>
      <w:r w:rsidRPr="004E00C7">
        <w:rPr>
          <w:rFonts w:eastAsia="Calibri" w:cs="Times New Roman"/>
          <w:szCs w:val="28"/>
          <w:u w:color="000000"/>
        </w:rPr>
        <w:t xml:space="preserve">Bản thân ý thức hệ cần có tính hợp lý và nhất quán nhưng không cần dựa vào bằng chứng thực tế một cách có hệ thống, mà có thể chỉ cần dựa vào mong ước và niềm tin từ các bằng chứng rời rạc, không nhất thiết có tính khoa học. Ý thức hệ có mục tiêu chính là </w:t>
      </w:r>
      <w:r w:rsidRPr="004E00C7">
        <w:rPr>
          <w:rFonts w:eastAsia="Calibri" w:cs="Times New Roman"/>
          <w:i/>
          <w:szCs w:val="28"/>
          <w:u w:color="000000"/>
        </w:rPr>
        <w:t>thúc đẩy hành động</w:t>
      </w:r>
      <w:r w:rsidRPr="004E00C7">
        <w:rPr>
          <w:rFonts w:eastAsia="Calibri" w:cs="Times New Roman"/>
          <w:szCs w:val="28"/>
          <w:u w:color="000000"/>
        </w:rPr>
        <w:t xml:space="preserve">, chứ không phải chủ yếu để </w:t>
      </w:r>
      <w:r w:rsidRPr="004E00C7">
        <w:rPr>
          <w:rFonts w:eastAsia="Calibri" w:cs="Times New Roman"/>
          <w:i/>
          <w:szCs w:val="28"/>
          <w:u w:color="000000"/>
        </w:rPr>
        <w:t>hướng tới chân lý và sự thật</w:t>
      </w:r>
      <w:r w:rsidRPr="004E00C7">
        <w:rPr>
          <w:rFonts w:eastAsia="Calibri" w:cs="Times New Roman"/>
          <w:szCs w:val="28"/>
          <w:u w:color="000000"/>
        </w:rPr>
        <w:t xml:space="preserve"> như khoa học. Daniel Bell (1960) thậm chí còn cho rằng ý thức hệ là “hệ thống của niềm tin định hướng cho hành động”. </w:t>
      </w:r>
    </w:p>
    <w:p w:rsidR="004E00C7" w:rsidRPr="004E00C7" w:rsidRDefault="004E00C7" w:rsidP="004E00C7">
      <w:pPr>
        <w:widowControl w:val="0"/>
        <w:spacing w:after="0" w:line="240" w:lineRule="auto"/>
        <w:ind w:firstLine="720"/>
        <w:jc w:val="both"/>
        <w:rPr>
          <w:rFonts w:eastAsia="Calibri" w:cs="Times New Roman"/>
          <w:i/>
          <w:szCs w:val="28"/>
          <w:u w:color="000000"/>
        </w:rPr>
      </w:pPr>
      <w:r w:rsidRPr="004E00C7">
        <w:rPr>
          <w:rFonts w:eastAsia="Calibri" w:cs="Times New Roman"/>
          <w:szCs w:val="28"/>
          <w:u w:color="000000"/>
        </w:rPr>
        <w:t>Quan niệm về “Ý thức hệ” của Marx cho rằng đó là sự phản ánh thực tế, nhưng là một thực tế lệch lạc (lộn ngược) có mục đích là biện hộ cho trật tự có lợi cho giai cấp thống trị. Ông đã so sánh ý thức hệ (hệ tư tưởng) với tôn giáo và chỉ ra chức năng chính trị - xã hội</w:t>
      </w:r>
      <w:r w:rsidRPr="004E00C7">
        <w:rPr>
          <w:rFonts w:eastAsia="Calibri" w:cs="Times New Roman"/>
          <w:i/>
          <w:szCs w:val="28"/>
          <w:u w:color="000000"/>
        </w:rPr>
        <w:t xml:space="preserve"> </w:t>
      </w:r>
      <w:r w:rsidRPr="004E00C7">
        <w:rPr>
          <w:rFonts w:eastAsia="Calibri" w:cs="Times New Roman"/>
          <w:szCs w:val="28"/>
          <w:u w:color="000000"/>
        </w:rPr>
        <w:t>của chúng trong hiện thực là biện hộ cho tình cảnh phi nhân tính. Và vì mọi điều phi nhân tính luôn là phi lý, ý thức hệ như vậy cũng hàm ý sự hợp lý hóa các điều phi lý. Điểm đột phá của Marx chính là chỉ ra “ý thức hệ” có nguồn gốc từ hiện thực cho dù chúng phản ánh theo cách đảo ngược hiện thực đó. Do vậy, sự đấu tranh cho một trật tự xã hội, bao gồm cả việc đấu tranh về ý thức hệ không còn nằm trong việc phê phán tính phi lý (như trong lĩnh vực lý luận), mà nằm trong hành động hiện thực. Nói cách khác, đó không còn là xóa bỏ tôn giáo mà phải là xóa bỏ chính hiện thực sinh ra tôn giáo đó, tức xóa bỏ “tình cảnh đang cần có các ảo tưởng”. Cách phê phán trước đó đã không nhìn nhận đúng các chức năng xã hội và chính trị của tôn giáo nói riêng và ý thức hệ nói chung, vì không nhìn thấy sự có lý của chúng (từ quan điểm của giai cấp cầm quyền) trong xã hội phi nhân tính và phi lý. Các nghiên cứu có ảnh hưởng sau này như của Gramsci hay Althusser đã phát triển sâu hơn và chỉ ra tính độc lập tương đối của ý thức hệ, và đặc biệt chỉ ra vai trò của ý thức hệ trong việc đảm bảo sự tuân</w:t>
      </w:r>
      <w:r w:rsidRPr="004E00C7">
        <w:rPr>
          <w:rFonts w:eastAsia="Calibri" w:cs="Times New Roman"/>
          <w:i/>
          <w:szCs w:val="28"/>
          <w:u w:color="000000"/>
        </w:rPr>
        <w:t xml:space="preserve"> </w:t>
      </w:r>
      <w:r w:rsidRPr="004E00C7">
        <w:rPr>
          <w:rFonts w:eastAsia="Calibri" w:cs="Times New Roman"/>
          <w:szCs w:val="28"/>
          <w:u w:color="000000"/>
        </w:rPr>
        <w:t>phục của người dân ngay cả trong điều kiện chịu các  bất công xã hội. Theo đó, ý thức hệ đóng vai trò chủ đạo trong việc “tái sản xuất các quan hệ xã hội”, đảm bảo một trật tự chính trị và sự tuân thủ cần thiết đối với luật pháp và trật tự xã hội hiện hành.</w:t>
      </w:r>
    </w:p>
    <w:p w:rsidR="004E00C7" w:rsidRPr="004E00C7" w:rsidRDefault="004E00C7" w:rsidP="004E00C7">
      <w:pPr>
        <w:widowControl w:val="0"/>
        <w:spacing w:after="0" w:line="240" w:lineRule="auto"/>
        <w:ind w:firstLine="720"/>
        <w:jc w:val="both"/>
        <w:rPr>
          <w:rFonts w:eastAsia="Calibri" w:cs="Times New Roman"/>
          <w:szCs w:val="28"/>
          <w:u w:color="000000"/>
        </w:rPr>
      </w:pPr>
      <w:r w:rsidRPr="004E00C7">
        <w:rPr>
          <w:rFonts w:eastAsia="Calibri" w:cs="Times New Roman"/>
          <w:szCs w:val="28"/>
          <w:u w:color="000000"/>
        </w:rPr>
        <w:t xml:space="preserve">“Ý thức hệ” được coi là nền tảng để hình thành một chế độ và trật tự xã hội kèm theo, được quy định bằng hiến pháp và hệ thống pháp lý, cũng như các chính sách cụ thể trong thực tế. Với cách hiểu hiện nay như vậy, có thể nói mọi ý thức hệ đều là YTHCT. </w:t>
      </w:r>
    </w:p>
    <w:p w:rsidR="004E00C7" w:rsidRPr="004E00C7" w:rsidRDefault="004E00C7" w:rsidP="004E00C7">
      <w:pPr>
        <w:widowControl w:val="0"/>
        <w:spacing w:after="0" w:line="240" w:lineRule="auto"/>
        <w:ind w:firstLine="720"/>
        <w:jc w:val="both"/>
        <w:rPr>
          <w:rFonts w:eastAsia="Calibri" w:cs="Times New Roman"/>
          <w:szCs w:val="28"/>
          <w:u w:color="000000"/>
        </w:rPr>
      </w:pPr>
      <w:r w:rsidRPr="004E00C7">
        <w:rPr>
          <w:rFonts w:eastAsia="Calibri" w:cs="Times New Roman"/>
          <w:szCs w:val="28"/>
          <w:u w:color="000000"/>
        </w:rPr>
        <w:t xml:space="preserve">Ý thức hệ còn được gọi là “Hệ tư tưởng”. Ở các hệ thống khác nhau, ý thức hệ cũng được hiểu theo các cách khác nhau. Ở các nước tư bản chủ nghĩa, bản thân thuật ngữ “ý thức hệ-hệ tư tưởng” thường được dùng với hàm ý phi khoa học (ngụy lý) và vì vậy có tính tiêu cực. Các nghiên cứu chính trị học, tuy nhiên, không </w:t>
      </w:r>
      <w:r w:rsidRPr="004E00C7">
        <w:rPr>
          <w:rFonts w:eastAsia="Calibri" w:cs="Times New Roman"/>
          <w:szCs w:val="28"/>
          <w:u w:color="000000"/>
        </w:rPr>
        <w:lastRenderedPageBreak/>
        <w:t xml:space="preserve">gán giá trị tiêu cực như vậy. </w:t>
      </w:r>
    </w:p>
    <w:p w:rsidR="004E00C7" w:rsidRPr="004E00C7" w:rsidRDefault="004E00C7" w:rsidP="004E00C7">
      <w:pPr>
        <w:widowControl w:val="0"/>
        <w:spacing w:after="0" w:line="240" w:lineRule="auto"/>
        <w:ind w:firstLine="720"/>
        <w:jc w:val="both"/>
        <w:rPr>
          <w:rFonts w:eastAsia="Calibri" w:cs="Times New Roman"/>
          <w:spacing w:val="-6"/>
          <w:szCs w:val="28"/>
          <w:u w:color="000000"/>
        </w:rPr>
      </w:pPr>
      <w:r w:rsidRPr="004E00C7">
        <w:rPr>
          <w:rFonts w:eastAsia="Calibri" w:cs="Times New Roman"/>
          <w:szCs w:val="28"/>
          <w:u w:color="000000"/>
        </w:rPr>
        <w:t>Với các nước xã hội chủ nghĩa, ý thức hệ có thể được phân biệt thành ha</w:t>
      </w:r>
      <w:r w:rsidRPr="004E00C7">
        <w:rPr>
          <w:rFonts w:eastAsia="Calibri" w:cs="Times New Roman"/>
          <w:spacing w:val="-6"/>
          <w:szCs w:val="28"/>
          <w:u w:color="000000"/>
        </w:rPr>
        <w:t xml:space="preserve">i loại “khoa học” và “phi khoa học, biện hộ” tùy thuộc vào chủ thể. Ý thức hệ cộng sản đương nhiên được coi là ý thức hệ có tính khoa học và là nền tảng, quyết định cho sự tồn vong và định hướng phát triển của toàn xã hội. </w:t>
      </w:r>
    </w:p>
    <w:p w:rsidR="004E00C7" w:rsidRPr="004E00C7" w:rsidRDefault="004E00C7" w:rsidP="004E00C7">
      <w:pPr>
        <w:widowControl w:val="0"/>
        <w:spacing w:after="0" w:line="240" w:lineRule="auto"/>
        <w:ind w:firstLine="720"/>
        <w:jc w:val="both"/>
        <w:rPr>
          <w:rFonts w:eastAsia="Calibri" w:cs="Times New Roman"/>
          <w:szCs w:val="28"/>
          <w:u w:color="000000"/>
        </w:rPr>
      </w:pPr>
      <w:r w:rsidRPr="004E00C7">
        <w:rPr>
          <w:rFonts w:eastAsia="Calibri" w:cs="Times New Roman"/>
          <w:szCs w:val="28"/>
          <w:u w:color="000000"/>
        </w:rPr>
        <w:t>Một số nhà nghiên cứu cho rằng hiện nay có năm hệ tư tưởng chính trị (YTHCT) chủ yếu là: Chủ nghĩa vô chính phủ, Chủ nghĩa Marx, Chủ nghĩa tự do, Chủ nghĩa bảo thủ, Chủ nghĩa phát xít. Và tất nhiên, cũng có những học giả cho rằng có ít hoặc nhiều hệ tư tưởng hơn thế. Bên cạnh đó, còn có một số quan điểm khác nhau về YTHCT như: YTHCT mang tính khép kín nên không thể sánh được với thực tiễn thực nghiệm, nhưng cũng có quan điểm cho rằng YTHCT vẫn có thể kiểm nghiệm và phát triển tốt bằng kinh nghiệm thực tế.</w:t>
      </w:r>
    </w:p>
    <w:p w:rsidR="004E00C7" w:rsidRPr="004E00C7" w:rsidRDefault="004E00C7" w:rsidP="004E00C7">
      <w:pPr>
        <w:widowControl w:val="0"/>
        <w:spacing w:after="0" w:line="240" w:lineRule="auto"/>
        <w:ind w:firstLine="720"/>
        <w:jc w:val="right"/>
        <w:rPr>
          <w:rFonts w:eastAsia="Calibri" w:cs="Times New Roman"/>
          <w:b/>
          <w:sz w:val="22"/>
          <w:u w:color="000000"/>
        </w:rPr>
      </w:pPr>
      <w:r w:rsidRPr="004E00C7">
        <w:rPr>
          <w:rFonts w:eastAsia="Calibri" w:cs="Times New Roman"/>
          <w:b/>
          <w:sz w:val="22"/>
          <w:u w:color="000000"/>
        </w:rPr>
        <w:t>NGÔ HUY ĐỨC</w:t>
      </w:r>
    </w:p>
    <w:p w:rsidR="004E00C7" w:rsidRPr="004E00C7" w:rsidRDefault="004E00C7" w:rsidP="004E00C7">
      <w:pPr>
        <w:widowControl w:val="0"/>
        <w:spacing w:after="0" w:line="240" w:lineRule="auto"/>
        <w:jc w:val="both"/>
        <w:rPr>
          <w:rFonts w:eastAsia="Calibri" w:cs="Times New Roman"/>
          <w:b/>
          <w:sz w:val="24"/>
          <w:szCs w:val="24"/>
          <w:u w:color="000000"/>
        </w:rPr>
      </w:pPr>
      <w:r w:rsidRPr="004E00C7">
        <w:rPr>
          <w:rFonts w:eastAsia="Calibri" w:cs="Times New Roman"/>
          <w:b/>
          <w:sz w:val="24"/>
          <w:szCs w:val="24"/>
          <w:u w:color="000000"/>
        </w:rPr>
        <w:t xml:space="preserve">Tài liệu tham khảo:  </w:t>
      </w:r>
    </w:p>
    <w:p w:rsidR="004E00C7" w:rsidRPr="004E00C7" w:rsidRDefault="004E00C7" w:rsidP="004E00C7">
      <w:pPr>
        <w:widowControl w:val="0"/>
        <w:spacing w:after="0" w:line="240" w:lineRule="auto"/>
        <w:jc w:val="both"/>
        <w:rPr>
          <w:rFonts w:eastAsia="Calibri" w:cs="Times New Roman"/>
          <w:kern w:val="28"/>
          <w:sz w:val="24"/>
          <w:szCs w:val="24"/>
          <w:u w:color="000000"/>
        </w:rPr>
      </w:pPr>
      <w:r w:rsidRPr="004E00C7">
        <w:rPr>
          <w:rFonts w:eastAsia="Calibri" w:cs="Times New Roman"/>
          <w:sz w:val="24"/>
          <w:szCs w:val="24"/>
          <w:u w:color="000000"/>
        </w:rPr>
        <w:t xml:space="preserve">1. </w:t>
      </w:r>
      <w:r w:rsidRPr="004E00C7">
        <w:rPr>
          <w:rFonts w:eastAsia="Calibri" w:cs="Times New Roman"/>
          <w:kern w:val="28"/>
          <w:sz w:val="24"/>
          <w:szCs w:val="24"/>
          <w:u w:color="000000"/>
        </w:rPr>
        <w:t xml:space="preserve">C.Mác, Ph. Engels, </w:t>
      </w:r>
      <w:r w:rsidRPr="004E00C7">
        <w:rPr>
          <w:rFonts w:eastAsia="Calibri" w:cs="Times New Roman"/>
          <w:i/>
          <w:kern w:val="28"/>
          <w:sz w:val="24"/>
          <w:szCs w:val="24"/>
          <w:u w:color="000000"/>
        </w:rPr>
        <w:t>Góp phần phê phán triết học pháp quyền của Hêghen,</w:t>
      </w:r>
      <w:r w:rsidRPr="004E00C7">
        <w:rPr>
          <w:rFonts w:eastAsia="Calibri" w:cs="Times New Roman"/>
          <w:kern w:val="28"/>
          <w:sz w:val="24"/>
          <w:szCs w:val="24"/>
          <w:u w:color="000000"/>
        </w:rPr>
        <w:t xml:space="preserve"> </w:t>
      </w:r>
      <w:r w:rsidRPr="004E00C7">
        <w:rPr>
          <w:rFonts w:eastAsia="Calibri" w:cs="Times New Roman"/>
          <w:iCs/>
          <w:kern w:val="28"/>
          <w:sz w:val="24"/>
          <w:szCs w:val="24"/>
          <w:u w:color="000000"/>
        </w:rPr>
        <w:t>Toàn tập</w:t>
      </w:r>
      <w:r w:rsidRPr="004E00C7">
        <w:rPr>
          <w:rFonts w:eastAsia="Calibri" w:cs="Times New Roman"/>
          <w:kern w:val="28"/>
          <w:sz w:val="24"/>
          <w:szCs w:val="24"/>
          <w:u w:color="000000"/>
        </w:rPr>
        <w:t>, Tập 1, Nxb. Chính trị Quốc gia – Sự thật, Hà Nội, 1995.</w:t>
      </w:r>
    </w:p>
    <w:p w:rsidR="004E00C7" w:rsidRPr="004E00C7" w:rsidRDefault="004E00C7" w:rsidP="004E00C7">
      <w:pPr>
        <w:widowControl w:val="0"/>
        <w:spacing w:after="0" w:line="240" w:lineRule="auto"/>
        <w:rPr>
          <w:rFonts w:eastAsia="Calibri" w:cs="Times New Roman"/>
          <w:kern w:val="28"/>
          <w:sz w:val="24"/>
          <w:szCs w:val="24"/>
          <w:u w:color="000000"/>
        </w:rPr>
      </w:pPr>
      <w:r w:rsidRPr="004E00C7">
        <w:rPr>
          <w:rFonts w:eastAsia="Calibri" w:cs="Times New Roman"/>
          <w:sz w:val="24"/>
          <w:szCs w:val="24"/>
          <w:u w:color="000000"/>
        </w:rPr>
        <w:t xml:space="preserve">2. </w:t>
      </w:r>
      <w:r w:rsidRPr="004E00C7">
        <w:rPr>
          <w:rFonts w:eastAsia="Calibri" w:cs="Times New Roman"/>
          <w:kern w:val="28"/>
          <w:sz w:val="24"/>
          <w:szCs w:val="24"/>
          <w:u w:color="000000"/>
        </w:rPr>
        <w:t xml:space="preserve">Althusser, L., </w:t>
      </w:r>
      <w:r w:rsidRPr="004E00C7">
        <w:rPr>
          <w:rFonts w:eastAsia="Calibri" w:cs="Times New Roman"/>
          <w:i/>
          <w:kern w:val="28"/>
          <w:sz w:val="24"/>
          <w:szCs w:val="24"/>
          <w:u w:color="000000"/>
        </w:rPr>
        <w:t>Ideology and Ideological State Apparatuses</w:t>
      </w:r>
      <w:r w:rsidRPr="004E00C7">
        <w:rPr>
          <w:rFonts w:eastAsia="Calibri" w:cs="Times New Roman"/>
          <w:kern w:val="28"/>
          <w:sz w:val="24"/>
          <w:szCs w:val="24"/>
          <w:u w:color="000000"/>
        </w:rPr>
        <w:t xml:space="preserve">, Lenin and Philosophy and other Essays. New York: Monthly Review Press, 1971, </w:t>
      </w:r>
      <w:hyperlink r:id="rId4" w:history="1">
        <w:r w:rsidRPr="004E00C7">
          <w:rPr>
            <w:rFonts w:eastAsia="Calibri" w:cs="Times New Roman"/>
            <w:kern w:val="28"/>
            <w:sz w:val="24"/>
            <w:szCs w:val="24"/>
            <w:u w:color="000000"/>
          </w:rPr>
          <w:t>https://www.marxists.org/reference/archive/althusser/1970/ideology.htm</w:t>
        </w:r>
      </w:hyperlink>
      <w:r w:rsidRPr="004E00C7">
        <w:rPr>
          <w:rFonts w:eastAsia="Calibri" w:cs="Times New Roman"/>
          <w:kern w:val="28"/>
          <w:sz w:val="24"/>
          <w:szCs w:val="24"/>
          <w:u w:color="000000"/>
        </w:rPr>
        <w:t>, truy cập ngày 02.12.2022.</w:t>
      </w:r>
    </w:p>
    <w:p w:rsidR="004E00C7" w:rsidRPr="004E00C7" w:rsidRDefault="004E00C7" w:rsidP="004E00C7">
      <w:pPr>
        <w:widowControl w:val="0"/>
        <w:spacing w:after="0" w:line="240" w:lineRule="auto"/>
        <w:rPr>
          <w:rFonts w:eastAsia="Calibri" w:cs="Times New Roman"/>
          <w:kern w:val="28"/>
          <w:sz w:val="24"/>
          <w:szCs w:val="24"/>
          <w:u w:color="000000"/>
        </w:rPr>
      </w:pPr>
      <w:r w:rsidRPr="004E00C7">
        <w:rPr>
          <w:rFonts w:eastAsia="Calibri" w:cs="Times New Roman"/>
          <w:sz w:val="24"/>
          <w:szCs w:val="24"/>
          <w:u w:color="000000"/>
        </w:rPr>
        <w:t xml:space="preserve">3. </w:t>
      </w:r>
      <w:r w:rsidRPr="004E00C7">
        <w:rPr>
          <w:rFonts w:eastAsia="Calibri" w:cs="Times New Roman"/>
          <w:kern w:val="28"/>
          <w:sz w:val="24"/>
          <w:szCs w:val="24"/>
          <w:u w:color="000000"/>
        </w:rPr>
        <w:t xml:space="preserve">Freeden, M., </w:t>
      </w:r>
      <w:r w:rsidRPr="004E00C7">
        <w:rPr>
          <w:rFonts w:eastAsia="Calibri" w:cs="Times New Roman"/>
          <w:i/>
          <w:iCs/>
          <w:kern w:val="28"/>
          <w:sz w:val="24"/>
          <w:szCs w:val="24"/>
          <w:u w:color="000000"/>
        </w:rPr>
        <w:t>Ideology: Political Aspects</w:t>
      </w:r>
      <w:r w:rsidRPr="004E00C7">
        <w:rPr>
          <w:rFonts w:eastAsia="Calibri" w:cs="Times New Roman"/>
          <w:kern w:val="28"/>
          <w:sz w:val="24"/>
          <w:szCs w:val="24"/>
          <w:u w:color="000000"/>
        </w:rPr>
        <w:t>, https://www.sciencedirect.com/science/article/pii/B0080430767011542, truy cập ngày 02.12.2022.'</w:t>
      </w:r>
    </w:p>
    <w:p w:rsidR="004E00C7" w:rsidRPr="004E00C7" w:rsidRDefault="004E00C7" w:rsidP="004E00C7">
      <w:pPr>
        <w:widowControl w:val="0"/>
        <w:spacing w:after="0" w:line="240" w:lineRule="auto"/>
        <w:rPr>
          <w:rFonts w:eastAsia="Calibri" w:cs="Times New Roman"/>
          <w:kern w:val="28"/>
          <w:sz w:val="24"/>
          <w:szCs w:val="24"/>
          <w:u w:color="000000"/>
        </w:rPr>
      </w:pPr>
      <w:r w:rsidRPr="004E00C7">
        <w:rPr>
          <w:rFonts w:eastAsia="Calibri" w:cs="Times New Roman"/>
          <w:sz w:val="24"/>
          <w:szCs w:val="24"/>
          <w:u w:color="000000"/>
        </w:rPr>
        <w:t xml:space="preserve">4. </w:t>
      </w:r>
      <w:r w:rsidRPr="004E00C7">
        <w:rPr>
          <w:rFonts w:eastAsia="Calibri" w:cs="Times New Roman"/>
          <w:kern w:val="28"/>
          <w:sz w:val="24"/>
          <w:szCs w:val="24"/>
          <w:u w:color="000000"/>
        </w:rPr>
        <w:t xml:space="preserve">Hague, R., Harrop, M., MacCormick, J., </w:t>
      </w:r>
      <w:r w:rsidRPr="004E00C7">
        <w:rPr>
          <w:rFonts w:eastAsia="Calibri" w:cs="Times New Roman"/>
          <w:i/>
          <w:iCs/>
          <w:kern w:val="28"/>
          <w:sz w:val="24"/>
          <w:szCs w:val="24"/>
          <w:u w:color="000000"/>
        </w:rPr>
        <w:t>Political Science - A Comparative Introduction (8</w:t>
      </w:r>
      <w:r w:rsidRPr="004E00C7">
        <w:rPr>
          <w:rFonts w:eastAsia="Calibri" w:cs="Times New Roman"/>
          <w:i/>
          <w:iCs/>
          <w:kern w:val="28"/>
          <w:sz w:val="24"/>
          <w:szCs w:val="24"/>
          <w:u w:color="000000"/>
          <w:vertAlign w:val="superscript"/>
        </w:rPr>
        <w:t>th</w:t>
      </w:r>
      <w:r w:rsidRPr="004E00C7">
        <w:rPr>
          <w:rFonts w:eastAsia="Calibri" w:cs="Times New Roman"/>
          <w:i/>
          <w:iCs/>
          <w:kern w:val="28"/>
          <w:sz w:val="24"/>
          <w:szCs w:val="24"/>
          <w:u w:color="000000"/>
        </w:rPr>
        <w:t xml:space="preserve"> Edition)</w:t>
      </w:r>
      <w:r w:rsidRPr="004E00C7">
        <w:rPr>
          <w:rFonts w:eastAsia="Calibri" w:cs="Times New Roman"/>
          <w:kern w:val="28"/>
          <w:sz w:val="24"/>
          <w:szCs w:val="24"/>
          <w:u w:color="000000"/>
        </w:rPr>
        <w:t xml:space="preserve">, Palgrave Macmillan, 2016. </w:t>
      </w:r>
    </w:p>
    <w:p w:rsidR="004E00C7" w:rsidRPr="004E00C7" w:rsidRDefault="004E00C7" w:rsidP="004E00C7">
      <w:pPr>
        <w:tabs>
          <w:tab w:val="left" w:pos="468"/>
        </w:tabs>
        <w:spacing w:after="0" w:line="240" w:lineRule="auto"/>
        <w:ind w:left="-249"/>
        <w:jc w:val="both"/>
        <w:outlineLvl w:val="0"/>
        <w:rPr>
          <w:rFonts w:eastAsia="Calibri" w:cs="Times New Roman"/>
          <w:b/>
          <w:caps/>
          <w:sz w:val="26"/>
          <w:szCs w:val="26"/>
          <w:u w:color="000000"/>
        </w:rPr>
      </w:pPr>
      <w:r w:rsidRPr="004E00C7">
        <w:rPr>
          <w:rFonts w:eastAsia="Calibri" w:cs="Times New Roman"/>
          <w:b/>
          <w:caps/>
          <w:sz w:val="26"/>
          <w:szCs w:val="26"/>
          <w:u w:color="000000"/>
        </w:rPr>
        <w:tab/>
      </w: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C7"/>
    <w:rsid w:val="002133F0"/>
    <w:rsid w:val="004B574E"/>
    <w:rsid w:val="004E00C7"/>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9EC20-2980-4B60-A058-B3AFBDB3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rxists.org/reference/archive/althusser/1970/ideolog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2025-12-08T06:55:00Z</dcterms:created>
  <dcterms:modified xsi:type="dcterms:W3CDTF">2025-12-08T06:55:00Z</dcterms:modified>
</cp:coreProperties>
</file>